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A40" w:rsidRPr="00385A9C" w:rsidRDefault="009F4A40" w:rsidP="000056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A9C">
        <w:rPr>
          <w:rFonts w:ascii="Times New Roman" w:hAnsi="Times New Roman" w:cs="Times New Roman"/>
          <w:b/>
          <w:sz w:val="28"/>
          <w:szCs w:val="28"/>
        </w:rPr>
        <w:t>Інститут фізики конденсованих систем НАН України</w:t>
      </w:r>
    </w:p>
    <w:p w:rsidR="009F4A40" w:rsidRDefault="009F4A40" w:rsidP="0000563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5A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обґрунтування технічних та якісних характеристик предмета закупівлі </w:t>
      </w:r>
      <w:r w:rsidRPr="00385A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розміру бюджетного призначення  </w:t>
      </w:r>
      <w:r w:rsidRPr="00385A9C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очікуваної вартості предмета закупівлі</w:t>
      </w:r>
    </w:p>
    <w:p w:rsidR="007507D5" w:rsidRPr="007507D5" w:rsidRDefault="007507D5" w:rsidP="009F4A4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07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(відповідно до </w:t>
      </w:r>
      <w:r w:rsidRPr="007507D5">
        <w:rPr>
          <w:rFonts w:ascii="Times New Roman" w:hAnsi="Times New Roman" w:cs="Times New Roman"/>
          <w:sz w:val="24"/>
          <w:szCs w:val="24"/>
        </w:rPr>
        <w:t>Постанов</w:t>
      </w:r>
      <w:r w:rsidRPr="007507D5">
        <w:rPr>
          <w:rFonts w:ascii="Times New Roman" w:hAnsi="Times New Roman" w:cs="Times New Roman"/>
          <w:sz w:val="24"/>
          <w:szCs w:val="24"/>
        </w:rPr>
        <w:t>и</w:t>
      </w:r>
      <w:r w:rsidRPr="007507D5">
        <w:rPr>
          <w:rFonts w:ascii="Times New Roman" w:hAnsi="Times New Roman" w:cs="Times New Roman"/>
          <w:sz w:val="24"/>
          <w:szCs w:val="24"/>
        </w:rPr>
        <w:t xml:space="preserve"> Кабінету Міністрів України №1266 від 16 грудня 2020 року </w:t>
      </w:r>
      <w:r w:rsidRPr="007507D5">
        <w:rPr>
          <w:rFonts w:ascii="Times New Roman" w:hAnsi="Times New Roman" w:cs="Times New Roman"/>
          <w:sz w:val="24"/>
          <w:szCs w:val="24"/>
        </w:rPr>
        <w:t xml:space="preserve">стосовно </w:t>
      </w:r>
      <w:r w:rsidRPr="007507D5">
        <w:rPr>
          <w:rStyle w:val="a6"/>
          <w:rFonts w:ascii="Times New Roman" w:hAnsi="Times New Roman" w:cs="Times New Roman"/>
          <w:b w:val="0"/>
          <w:sz w:val="24"/>
          <w:szCs w:val="24"/>
        </w:rPr>
        <w:t>змін</w:t>
      </w:r>
      <w:r w:rsidRPr="007507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7D5">
        <w:rPr>
          <w:rFonts w:ascii="Times New Roman" w:hAnsi="Times New Roman" w:cs="Times New Roman"/>
          <w:sz w:val="24"/>
          <w:szCs w:val="24"/>
        </w:rPr>
        <w:t>до Постанови КМУ №710 від 11 жовтня 2016 року «Про ефективне використання державних коштів».</w:t>
      </w:r>
    </w:p>
    <w:p w:rsidR="00A1712C" w:rsidRPr="00BB621B" w:rsidRDefault="00A1712C" w:rsidP="00A17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uk-UA"/>
        </w:rPr>
      </w:pPr>
      <w:r w:rsidRPr="00BB621B">
        <w:rPr>
          <w:rFonts w:ascii="Times New Roman" w:eastAsia="Times New Roman" w:hAnsi="Times New Roman" w:cs="Times New Roman"/>
          <w:lang w:eastAsia="uk-UA"/>
        </w:rPr>
        <w:t xml:space="preserve">Підставою для закупівлі за ІD: </w:t>
      </w:r>
      <w:r w:rsidRPr="00BB621B">
        <w:rPr>
          <w:rStyle w:val="ng-binding"/>
          <w:rFonts w:ascii="Times New Roman" w:hAnsi="Times New Roman" w:cs="Times New Roman"/>
          <w:bCs/>
        </w:rPr>
        <w:t>UA-2025-05-28-013136-a</w:t>
      </w:r>
      <w:r w:rsidRPr="00BB621B">
        <w:rPr>
          <w:rFonts w:ascii="Times New Roman" w:eastAsia="Times New Roman" w:hAnsi="Times New Roman" w:cs="Times New Roman"/>
          <w:lang w:eastAsia="uk-UA"/>
        </w:rPr>
        <w:t xml:space="preserve"> є договір за № 179/0019 від 03.03.2025р. між Інститутом  фізики конденсованих систем Національної академії наук України (</w:t>
      </w:r>
      <w:proofErr w:type="spellStart"/>
      <w:r w:rsidRPr="00BB621B">
        <w:rPr>
          <w:rFonts w:ascii="Times New Roman" w:eastAsia="Times New Roman" w:hAnsi="Times New Roman" w:cs="Times New Roman"/>
          <w:lang w:eastAsia="uk-UA"/>
        </w:rPr>
        <w:t>Грантоотримувач</w:t>
      </w:r>
      <w:proofErr w:type="spellEnd"/>
      <w:r w:rsidRPr="00BB621B">
        <w:rPr>
          <w:rFonts w:ascii="Times New Roman" w:eastAsia="Times New Roman" w:hAnsi="Times New Roman" w:cs="Times New Roman"/>
          <w:lang w:eastAsia="uk-UA"/>
        </w:rPr>
        <w:t>)  і Національним фондом досліджень України (</w:t>
      </w:r>
      <w:proofErr w:type="spellStart"/>
      <w:r w:rsidRPr="00BB621B">
        <w:rPr>
          <w:rFonts w:ascii="Times New Roman" w:eastAsia="Times New Roman" w:hAnsi="Times New Roman" w:cs="Times New Roman"/>
          <w:lang w:eastAsia="uk-UA"/>
        </w:rPr>
        <w:t>Грантонадавач</w:t>
      </w:r>
      <w:proofErr w:type="spellEnd"/>
      <w:r w:rsidRPr="00BB621B">
        <w:rPr>
          <w:rFonts w:ascii="Times New Roman" w:eastAsia="Times New Roman" w:hAnsi="Times New Roman" w:cs="Times New Roman"/>
          <w:lang w:eastAsia="uk-UA"/>
        </w:rPr>
        <w:t xml:space="preserve">) (Договір додається), що виконується в рамках другого етапу </w:t>
      </w:r>
      <w:proofErr w:type="spellStart"/>
      <w:r w:rsidRPr="00BB621B">
        <w:rPr>
          <w:rFonts w:ascii="Times New Roman" w:eastAsia="Times New Roman" w:hAnsi="Times New Roman" w:cs="Times New Roman"/>
          <w:lang w:eastAsia="uk-UA"/>
        </w:rPr>
        <w:t>проєкту</w:t>
      </w:r>
      <w:proofErr w:type="spellEnd"/>
      <w:r w:rsidRPr="00BB621B">
        <w:rPr>
          <w:rFonts w:ascii="Times New Roman" w:eastAsia="Times New Roman" w:hAnsi="Times New Roman" w:cs="Times New Roman"/>
          <w:lang w:eastAsia="uk-UA"/>
        </w:rPr>
        <w:t xml:space="preserve">: Міждисциплінарний центр комп’ютерного моделювання створення, фундаментальні дослідження, навчання та сталий розвиток; (науковий керівник Т.М. Брик), який переміг за результатами конкурсу «Дослідницькі інфраструктури для проведення передових наукових досліджень», що проводився у 2023р. (https://nrfu.org.ua/grantees/selected-proposals, </w:t>
      </w:r>
      <w:hyperlink r:id="rId5" w:history="1">
        <w:r w:rsidRPr="00BB621B">
          <w:rPr>
            <w:rStyle w:val="a3"/>
            <w:rFonts w:ascii="Times New Roman" w:eastAsia="Times New Roman" w:hAnsi="Times New Roman" w:cs="Times New Roman"/>
            <w:lang w:eastAsia="uk-UA"/>
          </w:rPr>
          <w:t>https://nrfu.org.ua/wp-content/uploads/2024/06/perelik-proyektiv-shho-rekomenduyutsya-do</w:t>
        </w:r>
      </w:hyperlink>
      <w:r w:rsidRPr="00BB621B">
        <w:rPr>
          <w:rFonts w:ascii="Times New Roman" w:eastAsia="Times New Roman" w:hAnsi="Times New Roman" w:cs="Times New Roman"/>
          <w:lang w:eastAsia="uk-UA"/>
        </w:rPr>
        <w:t xml:space="preserve"> realizacziyi-.pdf ).</w:t>
      </w:r>
    </w:p>
    <w:p w:rsidR="00A1712C" w:rsidRPr="00BB621B" w:rsidRDefault="00A1712C" w:rsidP="00A17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uk-UA"/>
        </w:rPr>
      </w:pPr>
      <w:r w:rsidRPr="00BB621B">
        <w:rPr>
          <w:rFonts w:ascii="Times New Roman" w:eastAsia="Times New Roman" w:hAnsi="Times New Roman" w:cs="Times New Roman"/>
          <w:lang w:eastAsia="uk-UA"/>
        </w:rPr>
        <w:t xml:space="preserve">Рішення про включення </w:t>
      </w:r>
      <w:proofErr w:type="spellStart"/>
      <w:r w:rsidRPr="00BB621B">
        <w:rPr>
          <w:rFonts w:ascii="Times New Roman" w:eastAsia="Times New Roman" w:hAnsi="Times New Roman" w:cs="Times New Roman"/>
          <w:lang w:eastAsia="uk-UA"/>
        </w:rPr>
        <w:t>Проєкту</w:t>
      </w:r>
      <w:proofErr w:type="spellEnd"/>
      <w:r w:rsidRPr="00BB621B">
        <w:rPr>
          <w:rFonts w:ascii="Times New Roman" w:eastAsia="Times New Roman" w:hAnsi="Times New Roman" w:cs="Times New Roman"/>
          <w:lang w:eastAsia="uk-UA"/>
        </w:rPr>
        <w:t xml:space="preserve"> до переліку </w:t>
      </w:r>
      <w:proofErr w:type="spellStart"/>
      <w:r w:rsidRPr="00BB621B">
        <w:rPr>
          <w:rFonts w:ascii="Times New Roman" w:eastAsia="Times New Roman" w:hAnsi="Times New Roman" w:cs="Times New Roman"/>
          <w:lang w:eastAsia="uk-UA"/>
        </w:rPr>
        <w:t>проєктів</w:t>
      </w:r>
      <w:proofErr w:type="spellEnd"/>
      <w:r w:rsidRPr="00BB621B">
        <w:rPr>
          <w:rFonts w:ascii="Times New Roman" w:eastAsia="Times New Roman" w:hAnsi="Times New Roman" w:cs="Times New Roman"/>
          <w:lang w:eastAsia="uk-UA"/>
        </w:rPr>
        <w:t xml:space="preserve">, що рекомендуються до реалізації за рахунок грантової підтримки Національного фонду досліджень України із зазначенням рекомендованого обсягу фінансування </w:t>
      </w:r>
      <w:proofErr w:type="spellStart"/>
      <w:r w:rsidRPr="00BB621B">
        <w:rPr>
          <w:rFonts w:ascii="Times New Roman" w:eastAsia="Times New Roman" w:hAnsi="Times New Roman" w:cs="Times New Roman"/>
          <w:lang w:eastAsia="uk-UA"/>
        </w:rPr>
        <w:t>проєкту</w:t>
      </w:r>
      <w:proofErr w:type="spellEnd"/>
      <w:r w:rsidRPr="00BB621B">
        <w:rPr>
          <w:rFonts w:ascii="Times New Roman" w:eastAsia="Times New Roman" w:hAnsi="Times New Roman" w:cs="Times New Roman"/>
          <w:lang w:eastAsia="uk-UA"/>
        </w:rPr>
        <w:t xml:space="preserve"> за роками та пріоритетного напряму розвитку науки і техніки підтверджується протоколом засідання Наукової ради фонду № 20 від 27 червня 2024 р. https://nrfu.org.ua/wp-content/uploads/2024/06/perelik-proyektiv-shho-rekomenduyutsya-do-realizacziyi-.pdf</w:t>
      </w:r>
      <w:bookmarkStart w:id="0" w:name="_GoBack"/>
      <w:bookmarkEnd w:id="0"/>
    </w:p>
    <w:p w:rsidR="00A1712C" w:rsidRPr="00BB621B" w:rsidRDefault="00A1712C" w:rsidP="00A17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uk-UA"/>
        </w:rPr>
      </w:pPr>
      <w:r w:rsidRPr="00BB621B">
        <w:rPr>
          <w:rFonts w:ascii="Times New Roman" w:eastAsia="Times New Roman" w:hAnsi="Times New Roman" w:cs="Times New Roman"/>
          <w:lang w:eastAsia="uk-UA"/>
        </w:rPr>
        <w:t xml:space="preserve">Рішення про фінансування </w:t>
      </w:r>
      <w:proofErr w:type="spellStart"/>
      <w:r w:rsidRPr="00BB621B">
        <w:rPr>
          <w:rFonts w:ascii="Times New Roman" w:eastAsia="Times New Roman" w:hAnsi="Times New Roman" w:cs="Times New Roman"/>
          <w:lang w:eastAsia="uk-UA"/>
        </w:rPr>
        <w:t>Проєкту</w:t>
      </w:r>
      <w:proofErr w:type="spellEnd"/>
      <w:r w:rsidRPr="00BB621B">
        <w:rPr>
          <w:rFonts w:ascii="Times New Roman" w:eastAsia="Times New Roman" w:hAnsi="Times New Roman" w:cs="Times New Roman"/>
          <w:lang w:eastAsia="uk-UA"/>
        </w:rPr>
        <w:t xml:space="preserve"> у 2025 року прийнято</w:t>
      </w:r>
      <w:r w:rsidR="00537E3E">
        <w:rPr>
          <w:rFonts w:ascii="Times New Roman" w:eastAsia="Times New Roman" w:hAnsi="Times New Roman" w:cs="Times New Roman"/>
          <w:lang w:eastAsia="uk-UA"/>
        </w:rPr>
        <w:t xml:space="preserve"> і</w:t>
      </w:r>
      <w:r w:rsidRPr="00BB621B">
        <w:rPr>
          <w:rFonts w:ascii="Times New Roman" w:eastAsia="Times New Roman" w:hAnsi="Times New Roman" w:cs="Times New Roman"/>
          <w:lang w:eastAsia="uk-UA"/>
        </w:rPr>
        <w:t xml:space="preserve"> підтверджується протоколом засідання Наукової ради Національного фонду досліджень України № 9 від 21 лютого 2025 р.</w:t>
      </w:r>
    </w:p>
    <w:p w:rsidR="00A1712C" w:rsidRPr="00BB621B" w:rsidRDefault="00A1712C" w:rsidP="00A171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  <w:r w:rsidRPr="00BB621B">
        <w:rPr>
          <w:rFonts w:ascii="Times New Roman" w:eastAsia="Times New Roman" w:hAnsi="Times New Roman" w:cs="Times New Roman"/>
          <w:lang w:eastAsia="uk-UA"/>
        </w:rPr>
        <w:t>https://nrfu.org.ua/wp-content/uploads/2025/03/protokol-9-vid-21.02.2025.pdf</w:t>
      </w:r>
    </w:p>
    <w:p w:rsidR="00A1712C" w:rsidRPr="00BB621B" w:rsidRDefault="00A1712C" w:rsidP="00A1712C">
      <w:pPr>
        <w:pStyle w:val="a5"/>
        <w:spacing w:before="0" w:beforeAutospacing="0" w:after="0" w:afterAutospacing="0"/>
        <w:ind w:firstLine="708"/>
        <w:jc w:val="both"/>
      </w:pPr>
      <w:proofErr w:type="spellStart"/>
      <w:r w:rsidRPr="00BB621B">
        <w:t>Проєкт</w:t>
      </w:r>
      <w:proofErr w:type="spellEnd"/>
      <w:r w:rsidRPr="00BB621B">
        <w:t xml:space="preserve"> передбачає створення потужного обчислювального кластеру, який не має аналогів в Україні та спеціалізуватиметься на методах атомістичного й </w:t>
      </w:r>
      <w:proofErr w:type="spellStart"/>
      <w:r w:rsidRPr="00BB621B">
        <w:t>мезоскопічного</w:t>
      </w:r>
      <w:proofErr w:type="spellEnd"/>
      <w:r w:rsidRPr="00BB621B">
        <w:t xml:space="preserve"> комп’ютерного моделювання. Закупівля (</w:t>
      </w:r>
      <w:r w:rsidRPr="00BB621B">
        <w:rPr>
          <w:rStyle w:val="ng-binding"/>
          <w:bCs/>
        </w:rPr>
        <w:t xml:space="preserve">UA-2025-05-28-013136-a) </w:t>
      </w:r>
      <w:r w:rsidRPr="00BB621B">
        <w:t xml:space="preserve">передбачена рамками другого етапу реалізації </w:t>
      </w:r>
      <w:proofErr w:type="spellStart"/>
      <w:r w:rsidRPr="00BB621B">
        <w:t>проєкту</w:t>
      </w:r>
      <w:proofErr w:type="spellEnd"/>
      <w:r w:rsidRPr="00BB621B">
        <w:t xml:space="preserve"> у 2025 р., відповідно до З</w:t>
      </w:r>
      <w:r w:rsidR="001F5C9C">
        <w:t>аявки на грант та умов Договору.</w:t>
      </w:r>
      <w:r w:rsidRPr="00BB621B">
        <w:t xml:space="preserve"> </w:t>
      </w:r>
    </w:p>
    <w:p w:rsidR="00A1712C" w:rsidRPr="00385A9C" w:rsidRDefault="001F5C9C" w:rsidP="001F5C9C">
      <w:pPr>
        <w:pStyle w:val="a5"/>
        <w:spacing w:before="0" w:beforeAutospacing="0" w:after="0" w:afterAutospacing="0"/>
        <w:jc w:val="both"/>
      </w:pPr>
      <w:r>
        <w:t>О</w:t>
      </w:r>
      <w:r w:rsidRPr="00385A9C">
        <w:t>бладнання в частині закупівлі (</w:t>
      </w:r>
      <w:r w:rsidRPr="00385A9C">
        <w:rPr>
          <w:rStyle w:val="ng-binding"/>
          <w:bCs/>
        </w:rPr>
        <w:t>UA-2025-05-28-013136-a)</w:t>
      </w:r>
      <w:r w:rsidR="00A1712C" w:rsidRPr="00BB621B">
        <w:t xml:space="preserve"> забезпечує високошвидкісну</w:t>
      </w:r>
      <w:r w:rsidR="00A1712C" w:rsidRPr="00385A9C">
        <w:t xml:space="preserve"> передачу великих пакетів даних між обчислювальними вузлами кластера та систему його службового інформаційного забезпечення. </w:t>
      </w:r>
    </w:p>
    <w:p w:rsidR="00A1712C" w:rsidRPr="00385A9C" w:rsidRDefault="00A1712C" w:rsidP="00A17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uk-UA"/>
        </w:rPr>
      </w:pPr>
      <w:r w:rsidRPr="00385A9C">
        <w:rPr>
          <w:rFonts w:ascii="Times New Roman" w:eastAsia="Times New Roman" w:hAnsi="Times New Roman" w:cs="Times New Roman"/>
          <w:lang w:eastAsia="uk-UA"/>
        </w:rPr>
        <w:t xml:space="preserve">Очікувана вартість предмета закупівлі сформована, як на етапі конкурсного відбору, так і перед укладанням </w:t>
      </w:r>
      <w:r w:rsidR="00537E3E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385A9C">
        <w:rPr>
          <w:rFonts w:ascii="Times New Roman" w:eastAsia="Times New Roman" w:hAnsi="Times New Roman" w:cs="Times New Roman"/>
          <w:lang w:eastAsia="uk-UA"/>
        </w:rPr>
        <w:t xml:space="preserve">договорів за окремими етапами, з урахуванням ринкових цін (аналіз ринку обчислювальної техніки, комунікаційних систем та конкретних комерційних пропозицій), технічних вимог </w:t>
      </w:r>
      <w:proofErr w:type="spellStart"/>
      <w:r w:rsidRPr="00385A9C">
        <w:rPr>
          <w:rFonts w:ascii="Times New Roman" w:eastAsia="Times New Roman" w:hAnsi="Times New Roman" w:cs="Times New Roman"/>
          <w:lang w:eastAsia="uk-UA"/>
        </w:rPr>
        <w:t>проєкту</w:t>
      </w:r>
      <w:proofErr w:type="spellEnd"/>
      <w:r w:rsidRPr="00385A9C">
        <w:rPr>
          <w:rFonts w:ascii="Times New Roman" w:eastAsia="Times New Roman" w:hAnsi="Times New Roman" w:cs="Times New Roman"/>
          <w:lang w:eastAsia="uk-UA"/>
        </w:rPr>
        <w:t>, а також - консультацій з українськими та міжнародними експертами.</w:t>
      </w:r>
    </w:p>
    <w:p w:rsidR="00385A9C" w:rsidRPr="00385A9C" w:rsidRDefault="00A1712C" w:rsidP="00CF7515">
      <w:pPr>
        <w:spacing w:after="0" w:line="240" w:lineRule="auto"/>
        <w:jc w:val="both"/>
        <w:rPr>
          <w:rStyle w:val="ng-binding"/>
          <w:rFonts w:ascii="Times New Roman" w:hAnsi="Times New Roman" w:cs="Times New Roman"/>
          <w:bCs/>
        </w:rPr>
      </w:pPr>
      <w:r w:rsidRPr="00385A9C">
        <w:rPr>
          <w:rFonts w:ascii="Times New Roman" w:eastAsia="Times New Roman" w:hAnsi="Times New Roman" w:cs="Times New Roman"/>
          <w:lang w:eastAsia="uk-UA"/>
        </w:rPr>
        <w:tab/>
        <w:t xml:space="preserve">Згідно з кошторисом  </w:t>
      </w:r>
      <w:r w:rsidRPr="00385A9C">
        <w:rPr>
          <w:rFonts w:ascii="Times New Roman" w:eastAsia="Times New Roman" w:hAnsi="Times New Roman" w:cs="Times New Roman"/>
          <w:lang w:eastAsia="uk-UA"/>
        </w:rPr>
        <w:t>догов</w:t>
      </w:r>
      <w:r w:rsidRPr="00385A9C">
        <w:rPr>
          <w:rFonts w:ascii="Times New Roman" w:eastAsia="Times New Roman" w:hAnsi="Times New Roman" w:cs="Times New Roman"/>
          <w:lang w:eastAsia="uk-UA"/>
        </w:rPr>
        <w:t xml:space="preserve">ору </w:t>
      </w:r>
      <w:r w:rsidRPr="00385A9C">
        <w:rPr>
          <w:rFonts w:ascii="Times New Roman" w:eastAsia="Times New Roman" w:hAnsi="Times New Roman" w:cs="Times New Roman"/>
          <w:lang w:eastAsia="uk-UA"/>
        </w:rPr>
        <w:t xml:space="preserve"> за № 179/0019 від 03.03.2025р.</w:t>
      </w:r>
      <w:r w:rsidR="00CF7515" w:rsidRPr="00385A9C">
        <w:rPr>
          <w:rFonts w:ascii="Times New Roman" w:eastAsia="Times New Roman" w:hAnsi="Times New Roman" w:cs="Times New Roman"/>
          <w:lang w:eastAsia="uk-UA"/>
        </w:rPr>
        <w:t xml:space="preserve">на придбання обладнання в частині закупівлі </w:t>
      </w:r>
      <w:r w:rsidR="00CF7515" w:rsidRPr="00385A9C">
        <w:rPr>
          <w:rFonts w:ascii="Times New Roman" w:hAnsi="Times New Roman" w:cs="Times New Roman"/>
        </w:rPr>
        <w:t>(</w:t>
      </w:r>
      <w:r w:rsidR="00CF7515" w:rsidRPr="00385A9C">
        <w:rPr>
          <w:rStyle w:val="ng-binding"/>
          <w:rFonts w:ascii="Times New Roman" w:hAnsi="Times New Roman" w:cs="Times New Roman"/>
          <w:bCs/>
        </w:rPr>
        <w:t>UA-2025-05-28-013136-a)</w:t>
      </w:r>
      <w:r w:rsidR="00CF7515" w:rsidRPr="00385A9C">
        <w:rPr>
          <w:rStyle w:val="ng-binding"/>
          <w:rFonts w:ascii="Times New Roman" w:hAnsi="Times New Roman" w:cs="Times New Roman"/>
          <w:bCs/>
        </w:rPr>
        <w:t xml:space="preserve"> передбачено</w:t>
      </w:r>
      <w:r w:rsidR="00385A9C" w:rsidRPr="00385A9C">
        <w:rPr>
          <w:rStyle w:val="ng-binding"/>
          <w:rFonts w:ascii="Times New Roman" w:hAnsi="Times New Roman" w:cs="Times New Roman"/>
          <w:bCs/>
        </w:rPr>
        <w:t xml:space="preserve"> 464436 грн.</w:t>
      </w:r>
    </w:p>
    <w:p w:rsidR="00385A9C" w:rsidRPr="00385A9C" w:rsidRDefault="00385A9C" w:rsidP="00CF75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</w:p>
    <w:p w:rsidR="00385A9C" w:rsidRPr="00BB621B" w:rsidRDefault="00BB621B" w:rsidP="00BB621B">
      <w:pPr>
        <w:pStyle w:val="a7"/>
        <w:suppressAutoHyphens/>
        <w:ind w:left="360"/>
        <w:contextualSpacing/>
        <w:jc w:val="center"/>
        <w:rPr>
          <w:b/>
          <w:lang w:val="uk-UA"/>
        </w:rPr>
      </w:pPr>
      <w:r w:rsidRPr="00BB621B">
        <w:rPr>
          <w:b/>
          <w:lang w:val="uk-UA"/>
        </w:rPr>
        <w:t>Т</w:t>
      </w:r>
      <w:proofErr w:type="spellStart"/>
      <w:r w:rsidRPr="00BB621B">
        <w:rPr>
          <w:b/>
        </w:rPr>
        <w:t>аблиця</w:t>
      </w:r>
      <w:proofErr w:type="spellEnd"/>
      <w:r w:rsidRPr="00BB621B">
        <w:rPr>
          <w:b/>
        </w:rPr>
        <w:t xml:space="preserve"> </w:t>
      </w:r>
      <w:proofErr w:type="spellStart"/>
      <w:r w:rsidRPr="00BB621B">
        <w:rPr>
          <w:b/>
        </w:rPr>
        <w:t>технічних</w:t>
      </w:r>
      <w:proofErr w:type="spellEnd"/>
      <w:r w:rsidRPr="00BB621B">
        <w:rPr>
          <w:b/>
        </w:rPr>
        <w:t xml:space="preserve"> та </w:t>
      </w:r>
      <w:proofErr w:type="spellStart"/>
      <w:r w:rsidRPr="00BB621B">
        <w:rPr>
          <w:b/>
        </w:rPr>
        <w:t>якісних</w:t>
      </w:r>
      <w:proofErr w:type="spellEnd"/>
      <w:r w:rsidRPr="00BB621B">
        <w:rPr>
          <w:b/>
        </w:rPr>
        <w:t xml:space="preserve"> характеристик</w:t>
      </w:r>
      <w:r w:rsidRPr="00BB621B">
        <w:rPr>
          <w:b/>
          <w:lang w:val="uk-UA"/>
        </w:rPr>
        <w:t xml:space="preserve"> товару:</w:t>
      </w:r>
      <w:r w:rsidRPr="00BB621B">
        <w:rPr>
          <w:b/>
        </w:rPr>
        <w:t xml:space="preserve"> </w:t>
      </w:r>
      <w:proofErr w:type="spellStart"/>
      <w:r w:rsidR="00385A9C" w:rsidRPr="00BB621B">
        <w:rPr>
          <w:b/>
        </w:rPr>
        <w:t>Мережеве</w:t>
      </w:r>
      <w:proofErr w:type="spellEnd"/>
      <w:r w:rsidR="00385A9C" w:rsidRPr="00BB621B">
        <w:rPr>
          <w:b/>
        </w:rPr>
        <w:t xml:space="preserve"> </w:t>
      </w:r>
      <w:proofErr w:type="spellStart"/>
      <w:r w:rsidR="00385A9C" w:rsidRPr="00BB621B">
        <w:rPr>
          <w:b/>
        </w:rPr>
        <w:t>обладнання</w:t>
      </w:r>
      <w:proofErr w:type="spellEnd"/>
      <w:r w:rsidR="00385A9C" w:rsidRPr="00BB621B">
        <w:rPr>
          <w:b/>
        </w:rPr>
        <w:t xml:space="preserve"> (2 </w:t>
      </w:r>
      <w:proofErr w:type="spellStart"/>
      <w:r w:rsidR="00385A9C" w:rsidRPr="00BB621B">
        <w:rPr>
          <w:b/>
        </w:rPr>
        <w:t>шт</w:t>
      </w:r>
      <w:proofErr w:type="spellEnd"/>
      <w:r w:rsidR="00385A9C" w:rsidRPr="00BB621B">
        <w:rPr>
          <w:b/>
        </w:rPr>
        <w:t xml:space="preserve">) - </w:t>
      </w:r>
      <w:proofErr w:type="spellStart"/>
      <w:r w:rsidR="00385A9C" w:rsidRPr="00BB621B">
        <w:rPr>
          <w:b/>
        </w:rPr>
        <w:t>складова</w:t>
      </w:r>
      <w:proofErr w:type="spellEnd"/>
      <w:r w:rsidR="00385A9C" w:rsidRPr="00BB621B">
        <w:rPr>
          <w:b/>
        </w:rPr>
        <w:t xml:space="preserve"> </w:t>
      </w:r>
      <w:proofErr w:type="spellStart"/>
      <w:r w:rsidR="00385A9C" w:rsidRPr="00BB621B">
        <w:rPr>
          <w:b/>
        </w:rPr>
        <w:t>частина</w:t>
      </w:r>
      <w:proofErr w:type="spellEnd"/>
      <w:r w:rsidR="00385A9C" w:rsidRPr="00BB621B">
        <w:rPr>
          <w:b/>
        </w:rPr>
        <w:t xml:space="preserve"> кластера </w:t>
      </w:r>
      <w:proofErr w:type="spellStart"/>
      <w:r w:rsidR="00385A9C" w:rsidRPr="00BB621B">
        <w:rPr>
          <w:b/>
        </w:rPr>
        <w:t>Міждисциплінарного</w:t>
      </w:r>
      <w:proofErr w:type="spellEnd"/>
      <w:r w:rsidR="00385A9C" w:rsidRPr="00BB621B">
        <w:rPr>
          <w:b/>
        </w:rPr>
        <w:t xml:space="preserve"> центру </w:t>
      </w:r>
      <w:proofErr w:type="spellStart"/>
      <w:r w:rsidR="00385A9C" w:rsidRPr="00BB621B">
        <w:rPr>
          <w:b/>
        </w:rPr>
        <w:t>комп'ютерного</w:t>
      </w:r>
      <w:proofErr w:type="spellEnd"/>
      <w:r w:rsidR="00385A9C" w:rsidRPr="00BB621B">
        <w:rPr>
          <w:b/>
        </w:rPr>
        <w:t xml:space="preserve"> </w:t>
      </w:r>
      <w:proofErr w:type="spellStart"/>
      <w:r w:rsidR="00385A9C" w:rsidRPr="00BB621B">
        <w:rPr>
          <w:b/>
        </w:rPr>
        <w:t>моделювання</w:t>
      </w:r>
      <w:proofErr w:type="spellEnd"/>
      <w:r w:rsidR="00385A9C" w:rsidRPr="00BB621B">
        <w:rPr>
          <w:b/>
          <w:lang w:val="uk-UA"/>
        </w:rPr>
        <w:t>:</w:t>
      </w:r>
    </w:p>
    <w:tbl>
      <w:tblPr>
        <w:tblW w:w="10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58"/>
        <w:gridCol w:w="6520"/>
      </w:tblGrid>
      <w:tr w:rsidR="00385A9C" w:rsidRPr="00385A9C" w:rsidTr="00BB621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85A9C" w:rsidRPr="00385A9C" w:rsidRDefault="00385A9C" w:rsidP="00BB621B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85A9C">
              <w:rPr>
                <w:rFonts w:ascii="Times New Roman" w:eastAsia="Calibri" w:hAnsi="Times New Roman" w:cs="Times New Roman"/>
                <w:b/>
              </w:rPr>
              <w:t>№ з/п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385A9C" w:rsidRPr="00385A9C" w:rsidRDefault="00385A9C" w:rsidP="00BB62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85A9C">
              <w:rPr>
                <w:rFonts w:ascii="Times New Roman" w:eastAsia="Calibri" w:hAnsi="Times New Roman" w:cs="Times New Roman"/>
                <w:b/>
                <w:bCs/>
              </w:rPr>
              <w:t>Назва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85A9C" w:rsidRPr="00385A9C" w:rsidRDefault="00385A9C" w:rsidP="00BB62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85A9C">
              <w:rPr>
                <w:rFonts w:ascii="Times New Roman" w:eastAsia="Calibri" w:hAnsi="Times New Roman" w:cs="Times New Roman"/>
                <w:b/>
                <w:bCs/>
              </w:rPr>
              <w:t>Вимоги</w:t>
            </w:r>
          </w:p>
        </w:tc>
      </w:tr>
      <w:tr w:rsidR="00385A9C" w:rsidRPr="00385A9C" w:rsidTr="00BB621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85A9C" w:rsidRPr="00385A9C" w:rsidRDefault="00385A9C" w:rsidP="00BB62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85A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78" w:type="dxa"/>
            <w:gridSpan w:val="2"/>
            <w:shd w:val="clear" w:color="auto" w:fill="auto"/>
            <w:vAlign w:val="center"/>
          </w:tcPr>
          <w:p w:rsidR="00385A9C" w:rsidRPr="00385A9C" w:rsidRDefault="00385A9C" w:rsidP="00BB62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5A9C">
              <w:rPr>
                <w:rFonts w:ascii="Times New Roman" w:hAnsi="Times New Roman" w:cs="Times New Roman"/>
                <w:color w:val="000000"/>
              </w:rPr>
              <w:t xml:space="preserve">Високопродуктивний мережевий комутатор </w:t>
            </w:r>
            <w:proofErr w:type="spellStart"/>
            <w:r w:rsidRPr="00385A9C">
              <w:rPr>
                <w:rFonts w:ascii="Times New Roman" w:hAnsi="Times New Roman" w:cs="Times New Roman"/>
                <w:color w:val="000000"/>
              </w:rPr>
              <w:t>мізвузельного</w:t>
            </w:r>
            <w:proofErr w:type="spellEnd"/>
            <w:r w:rsidRPr="00385A9C">
              <w:rPr>
                <w:rFonts w:ascii="Times New Roman" w:hAnsi="Times New Roman" w:cs="Times New Roman"/>
                <w:color w:val="000000"/>
              </w:rPr>
              <w:t xml:space="preserve"> зв’язку обчислювального кластера - </w:t>
            </w:r>
            <w:proofErr w:type="spellStart"/>
            <w:r w:rsidRPr="00385A9C">
              <w:rPr>
                <w:rFonts w:ascii="Times New Roman" w:hAnsi="Times New Roman" w:cs="Times New Roman"/>
                <w:color w:val="000000"/>
              </w:rPr>
              <w:t>Mellanox</w:t>
            </w:r>
            <w:proofErr w:type="spellEnd"/>
            <w:r w:rsidRPr="00385A9C">
              <w:rPr>
                <w:rFonts w:ascii="Times New Roman" w:hAnsi="Times New Roman" w:cs="Times New Roman"/>
                <w:color w:val="000000"/>
              </w:rPr>
              <w:t xml:space="preserve"> MSN2010-CB2F </w:t>
            </w:r>
            <w:proofErr w:type="spellStart"/>
            <w:r w:rsidRPr="00385A9C">
              <w:rPr>
                <w:rFonts w:ascii="Times New Roman" w:hAnsi="Times New Roman" w:cs="Times New Roman"/>
                <w:color w:val="000000"/>
              </w:rPr>
              <w:t>Spectrum</w:t>
            </w:r>
            <w:proofErr w:type="spellEnd"/>
            <w:r w:rsidRPr="00385A9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B621B">
              <w:rPr>
                <w:rFonts w:ascii="Times New Roman" w:hAnsi="Times New Roman" w:cs="Times New Roman"/>
                <w:color w:val="000000"/>
              </w:rPr>
              <w:t>(1 шт.),</w:t>
            </w:r>
            <w:r w:rsidRPr="00385A9C">
              <w:rPr>
                <w:rFonts w:ascii="Times New Roman" w:hAnsi="Times New Roman" w:cs="Times New Roman"/>
                <w:color w:val="000000"/>
              </w:rPr>
              <w:t xml:space="preserve"> або аналог (еквівалент) з характеристиками:</w:t>
            </w:r>
          </w:p>
        </w:tc>
      </w:tr>
      <w:tr w:rsidR="00385A9C" w:rsidRPr="00385A9C" w:rsidTr="00BB621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85A9C" w:rsidRPr="00385A9C" w:rsidRDefault="00385A9C" w:rsidP="00BB62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85A9C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385A9C" w:rsidRPr="00385A9C" w:rsidRDefault="00385A9C" w:rsidP="00BB62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5A9C">
              <w:rPr>
                <w:rFonts w:ascii="Times New Roman" w:hAnsi="Times New Roman" w:cs="Times New Roman"/>
                <w:bCs/>
                <w:color w:val="000000"/>
              </w:rPr>
              <w:t>Порти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85A9C" w:rsidRPr="00385A9C" w:rsidRDefault="00385A9C" w:rsidP="00BB62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5A9C">
              <w:rPr>
                <w:rFonts w:ascii="Times New Roman" w:hAnsi="Times New Roman" w:cs="Times New Roman"/>
                <w:color w:val="000000"/>
              </w:rPr>
              <w:t xml:space="preserve">≥ 18 </w:t>
            </w:r>
            <w:r w:rsidRPr="00385A9C">
              <w:rPr>
                <w:rFonts w:ascii="Times New Roman" w:hAnsi="Times New Roman" w:cs="Times New Roman"/>
                <w:color w:val="000000"/>
                <w:lang w:val="ru-RU"/>
              </w:rPr>
              <w:t>x</w:t>
            </w:r>
            <w:r w:rsidRPr="00385A9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85A9C">
              <w:rPr>
                <w:rFonts w:ascii="Times New Roman" w:hAnsi="Times New Roman" w:cs="Times New Roman"/>
                <w:color w:val="000000"/>
                <w:lang w:val="ru-RU"/>
              </w:rPr>
              <w:t>SFP</w:t>
            </w:r>
            <w:r w:rsidRPr="00385A9C">
              <w:rPr>
                <w:rFonts w:ascii="Times New Roman" w:hAnsi="Times New Roman" w:cs="Times New Roman"/>
                <w:color w:val="000000"/>
              </w:rPr>
              <w:t>28 (10/25</w:t>
            </w:r>
            <w:proofErr w:type="spellStart"/>
            <w:r w:rsidRPr="00385A9C">
              <w:rPr>
                <w:rFonts w:ascii="Times New Roman" w:hAnsi="Times New Roman" w:cs="Times New Roman"/>
                <w:color w:val="000000"/>
                <w:lang w:val="ru-RU"/>
              </w:rPr>
              <w:t>GbE</w:t>
            </w:r>
            <w:proofErr w:type="spellEnd"/>
            <w:r w:rsidRPr="00385A9C">
              <w:rPr>
                <w:rFonts w:ascii="Times New Roman" w:hAnsi="Times New Roman" w:cs="Times New Roman"/>
                <w:color w:val="000000"/>
              </w:rPr>
              <w:t xml:space="preserve">) + 4 </w:t>
            </w:r>
            <w:r w:rsidRPr="00385A9C">
              <w:rPr>
                <w:rFonts w:ascii="Times New Roman" w:hAnsi="Times New Roman" w:cs="Times New Roman"/>
                <w:color w:val="000000"/>
                <w:lang w:val="ru-RU"/>
              </w:rPr>
              <w:t>x</w:t>
            </w:r>
            <w:r w:rsidRPr="00385A9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85A9C">
              <w:rPr>
                <w:rFonts w:ascii="Times New Roman" w:hAnsi="Times New Roman" w:cs="Times New Roman"/>
                <w:color w:val="000000"/>
                <w:lang w:val="ru-RU"/>
              </w:rPr>
              <w:t>QSFP</w:t>
            </w:r>
            <w:r w:rsidRPr="00385A9C">
              <w:rPr>
                <w:rFonts w:ascii="Times New Roman" w:hAnsi="Times New Roman" w:cs="Times New Roman"/>
                <w:color w:val="000000"/>
              </w:rPr>
              <w:t>28 (40/100</w:t>
            </w:r>
            <w:proofErr w:type="spellStart"/>
            <w:r w:rsidRPr="00385A9C">
              <w:rPr>
                <w:rFonts w:ascii="Times New Roman" w:hAnsi="Times New Roman" w:cs="Times New Roman"/>
                <w:color w:val="000000"/>
                <w:lang w:val="ru-RU"/>
              </w:rPr>
              <w:t>GbE</w:t>
            </w:r>
            <w:proofErr w:type="spellEnd"/>
            <w:r w:rsidRPr="00385A9C">
              <w:rPr>
                <w:rFonts w:ascii="Times New Roman" w:hAnsi="Times New Roman" w:cs="Times New Roman"/>
                <w:color w:val="000000"/>
              </w:rPr>
              <w:t>).</w:t>
            </w:r>
          </w:p>
        </w:tc>
      </w:tr>
      <w:tr w:rsidR="00385A9C" w:rsidRPr="00385A9C" w:rsidTr="00BB621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85A9C" w:rsidRPr="00385A9C" w:rsidRDefault="00385A9C" w:rsidP="00BB62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A9C">
              <w:rPr>
                <w:rFonts w:ascii="Times New Roman" w:eastAsia="Calibri" w:hAnsi="Times New Roman" w:cs="Times New Roman"/>
                <w:bCs/>
                <w:color w:val="000000"/>
              </w:rPr>
              <w:t>1.2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385A9C" w:rsidRPr="00385A9C" w:rsidRDefault="00385A9C" w:rsidP="00BB62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5A9C">
              <w:rPr>
                <w:rFonts w:ascii="Times New Roman" w:hAnsi="Times New Roman" w:cs="Times New Roman"/>
                <w:bCs/>
                <w:color w:val="000000"/>
              </w:rPr>
              <w:t>Пропускна здатність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85A9C" w:rsidRPr="00385A9C" w:rsidRDefault="00385A9C" w:rsidP="00BB62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5A9C">
              <w:rPr>
                <w:rFonts w:ascii="Times New Roman" w:hAnsi="Times New Roman" w:cs="Times New Roman"/>
                <w:color w:val="000000"/>
              </w:rPr>
              <w:t xml:space="preserve">≥ 1.7 </w:t>
            </w:r>
            <w:proofErr w:type="spellStart"/>
            <w:r w:rsidRPr="00385A9C">
              <w:rPr>
                <w:rFonts w:ascii="Times New Roman" w:hAnsi="Times New Roman" w:cs="Times New Roman"/>
                <w:color w:val="000000"/>
                <w:lang w:val="ru-RU"/>
              </w:rPr>
              <w:t>Tb</w:t>
            </w:r>
            <w:proofErr w:type="spellEnd"/>
            <w:r w:rsidRPr="00385A9C">
              <w:rPr>
                <w:rFonts w:ascii="Times New Roman" w:hAnsi="Times New Roman" w:cs="Times New Roman"/>
                <w:color w:val="000000"/>
              </w:rPr>
              <w:t>/</w:t>
            </w:r>
            <w:r w:rsidRPr="00385A9C">
              <w:rPr>
                <w:rFonts w:ascii="Times New Roman" w:hAnsi="Times New Roman" w:cs="Times New Roman"/>
                <w:color w:val="000000"/>
                <w:lang w:val="ru-RU"/>
              </w:rPr>
              <w:t>s</w:t>
            </w:r>
            <w:r w:rsidRPr="00385A9C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385A9C" w:rsidRPr="00385A9C" w:rsidTr="00BB621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85A9C" w:rsidRPr="00385A9C" w:rsidRDefault="00385A9C" w:rsidP="00BB62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A9C">
              <w:rPr>
                <w:rFonts w:ascii="Times New Roman" w:eastAsia="Calibri" w:hAnsi="Times New Roman" w:cs="Times New Roman"/>
                <w:bCs/>
                <w:color w:val="000000"/>
              </w:rPr>
              <w:t>1.3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385A9C" w:rsidRPr="00385A9C" w:rsidRDefault="00385A9C" w:rsidP="00BB62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5A9C">
              <w:rPr>
                <w:rFonts w:ascii="Times New Roman" w:hAnsi="Times New Roman" w:cs="Times New Roman"/>
                <w:bCs/>
                <w:color w:val="000000"/>
              </w:rPr>
              <w:t>Швидкість обробки пакеті</w:t>
            </w:r>
            <w:r w:rsidRPr="00385A9C">
              <w:rPr>
                <w:rFonts w:ascii="Times New Roman" w:hAnsi="Times New Roman" w:cs="Times New Roman"/>
                <w:bCs/>
                <w:color w:val="000000"/>
                <w:lang w:val="ru-RU"/>
              </w:rPr>
              <w:t>в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85A9C" w:rsidRPr="00385A9C" w:rsidRDefault="00385A9C" w:rsidP="00BB62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5A9C">
              <w:rPr>
                <w:rFonts w:ascii="Times New Roman" w:hAnsi="Times New Roman" w:cs="Times New Roman"/>
                <w:color w:val="000000"/>
                <w:lang w:val="ru-RU"/>
              </w:rPr>
              <w:t xml:space="preserve">≥ 1.26 млрд </w:t>
            </w:r>
            <w:proofErr w:type="spellStart"/>
            <w:r w:rsidRPr="00385A9C">
              <w:rPr>
                <w:rFonts w:ascii="Times New Roman" w:hAnsi="Times New Roman" w:cs="Times New Roman"/>
                <w:color w:val="000000"/>
                <w:lang w:val="ru-RU"/>
              </w:rPr>
              <w:t>пакетів</w:t>
            </w:r>
            <w:proofErr w:type="spellEnd"/>
            <w:r w:rsidRPr="00385A9C">
              <w:rPr>
                <w:rFonts w:ascii="Times New Roman" w:hAnsi="Times New Roman" w:cs="Times New Roman"/>
                <w:color w:val="000000"/>
                <w:lang w:val="ru-RU"/>
              </w:rPr>
              <w:t>/сек.</w:t>
            </w:r>
          </w:p>
        </w:tc>
      </w:tr>
      <w:tr w:rsidR="00385A9C" w:rsidRPr="00385A9C" w:rsidTr="00BB621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85A9C" w:rsidRPr="00385A9C" w:rsidRDefault="00385A9C" w:rsidP="00BB62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A9C">
              <w:rPr>
                <w:rFonts w:ascii="Times New Roman" w:eastAsia="Calibri" w:hAnsi="Times New Roman" w:cs="Times New Roman"/>
                <w:bCs/>
                <w:color w:val="000000"/>
              </w:rPr>
              <w:t>1.4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385A9C" w:rsidRPr="00385A9C" w:rsidRDefault="00385A9C" w:rsidP="00BB62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5A9C">
              <w:rPr>
                <w:rFonts w:ascii="Times New Roman" w:hAnsi="Times New Roman" w:cs="Times New Roman"/>
                <w:bCs/>
                <w:color w:val="000000"/>
                <w:lang w:val="ru-RU"/>
              </w:rPr>
              <w:t>Затримка</w:t>
            </w:r>
            <w:proofErr w:type="spellEnd"/>
          </w:p>
        </w:tc>
        <w:tc>
          <w:tcPr>
            <w:tcW w:w="6520" w:type="dxa"/>
            <w:shd w:val="clear" w:color="auto" w:fill="auto"/>
            <w:vAlign w:val="center"/>
          </w:tcPr>
          <w:p w:rsidR="00385A9C" w:rsidRPr="00385A9C" w:rsidRDefault="00385A9C" w:rsidP="00BB62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5A9C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≤ 300 </w:t>
            </w:r>
            <w:proofErr w:type="spellStart"/>
            <w:r w:rsidRPr="00385A9C">
              <w:rPr>
                <w:rFonts w:ascii="Times New Roman" w:hAnsi="Times New Roman" w:cs="Times New Roman"/>
                <w:bCs/>
                <w:color w:val="000000"/>
                <w:lang w:val="ru-RU"/>
              </w:rPr>
              <w:t>нс</w:t>
            </w:r>
            <w:proofErr w:type="spellEnd"/>
            <w:r w:rsidRPr="00385A9C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385A9C">
              <w:rPr>
                <w:rFonts w:ascii="Times New Roman" w:hAnsi="Times New Roman" w:cs="Times New Roman"/>
                <w:color w:val="000000"/>
                <w:lang w:val="ru-RU"/>
              </w:rPr>
              <w:t>(порт-порт для 100GbE)</w:t>
            </w:r>
          </w:p>
        </w:tc>
      </w:tr>
      <w:tr w:rsidR="00385A9C" w:rsidRPr="00385A9C" w:rsidTr="00BB621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85A9C" w:rsidRPr="00385A9C" w:rsidRDefault="00385A9C" w:rsidP="00BB62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A9C">
              <w:rPr>
                <w:rFonts w:ascii="Times New Roman" w:eastAsia="Calibri" w:hAnsi="Times New Roman" w:cs="Times New Roman"/>
                <w:bCs/>
                <w:color w:val="000000"/>
              </w:rPr>
              <w:t>1.5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385A9C" w:rsidRPr="00385A9C" w:rsidRDefault="00385A9C" w:rsidP="00BB62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5A9C">
              <w:rPr>
                <w:rFonts w:ascii="Times New Roman" w:hAnsi="Times New Roman" w:cs="Times New Roman"/>
                <w:bCs/>
                <w:color w:val="000000"/>
                <w:lang w:val="ru-RU"/>
              </w:rPr>
              <w:t>Форм-фактор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85A9C" w:rsidRPr="00385A9C" w:rsidRDefault="00385A9C" w:rsidP="00BB62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5A9C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1U, </w:t>
            </w:r>
            <w:proofErr w:type="spellStart"/>
            <w:r w:rsidRPr="00385A9C">
              <w:rPr>
                <w:rFonts w:ascii="Times New Roman" w:hAnsi="Times New Roman" w:cs="Times New Roman"/>
                <w:bCs/>
                <w:color w:val="000000"/>
                <w:lang w:val="ru-RU"/>
              </w:rPr>
              <w:t>компактний</w:t>
            </w:r>
            <w:proofErr w:type="spellEnd"/>
            <w:r w:rsidRPr="00385A9C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дизайн.</w:t>
            </w:r>
          </w:p>
        </w:tc>
      </w:tr>
      <w:tr w:rsidR="00385A9C" w:rsidRPr="00385A9C" w:rsidTr="00BB621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85A9C" w:rsidRPr="00385A9C" w:rsidRDefault="00385A9C" w:rsidP="00BB62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A9C">
              <w:rPr>
                <w:rFonts w:ascii="Times New Roman" w:eastAsia="Calibri" w:hAnsi="Times New Roman" w:cs="Times New Roman"/>
                <w:bCs/>
                <w:color w:val="000000"/>
              </w:rPr>
              <w:t>1.6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385A9C" w:rsidRPr="00385A9C" w:rsidRDefault="00385A9C" w:rsidP="00BB621B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85A9C">
              <w:rPr>
                <w:rFonts w:ascii="Times New Roman" w:eastAsia="Calibri" w:hAnsi="Times New Roman" w:cs="Times New Roman"/>
                <w:bCs/>
              </w:rPr>
              <w:t>Термін гарантії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85A9C" w:rsidRPr="00385A9C" w:rsidRDefault="00385A9C" w:rsidP="00BB62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5A9C">
              <w:rPr>
                <w:rFonts w:ascii="Times New Roman" w:hAnsi="Times New Roman" w:cs="Times New Roman"/>
                <w:lang w:eastAsia="uk-UA"/>
              </w:rPr>
              <w:t>не менше 24 місяці від виробника.</w:t>
            </w:r>
          </w:p>
        </w:tc>
      </w:tr>
      <w:tr w:rsidR="00385A9C" w:rsidRPr="00385A9C" w:rsidTr="00BB621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85A9C" w:rsidRPr="00385A9C" w:rsidRDefault="00385A9C" w:rsidP="00BB62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85A9C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9678" w:type="dxa"/>
            <w:gridSpan w:val="2"/>
            <w:shd w:val="clear" w:color="auto" w:fill="auto"/>
            <w:vAlign w:val="center"/>
          </w:tcPr>
          <w:p w:rsidR="00385A9C" w:rsidRPr="00385A9C" w:rsidRDefault="00385A9C" w:rsidP="00BB621B">
            <w:pPr>
              <w:spacing w:after="0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85A9C">
              <w:rPr>
                <w:rFonts w:ascii="Times New Roman" w:hAnsi="Times New Roman" w:cs="Times New Roman"/>
                <w:color w:val="000000"/>
              </w:rPr>
              <w:t>Високопродуктивний мережевий комутатор службового зв'язку та зовнішніх комунікацій  обчислювального  кластера -</w:t>
            </w:r>
            <w:r w:rsidRPr="00385A9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85A9C">
              <w:rPr>
                <w:rFonts w:ascii="Times New Roman" w:hAnsi="Times New Roman" w:cs="Times New Roman"/>
                <w:color w:val="000000"/>
              </w:rPr>
              <w:t>Ubiquiti</w:t>
            </w:r>
            <w:proofErr w:type="spellEnd"/>
            <w:r w:rsidRPr="00385A9C">
              <w:rPr>
                <w:rFonts w:ascii="Times New Roman" w:hAnsi="Times New Roman" w:cs="Times New Roman"/>
                <w:color w:val="000000"/>
              </w:rPr>
              <w:t xml:space="preserve"> USW-Pro-48 L3 48 x 1GbE + 4 x 10 </w:t>
            </w:r>
            <w:proofErr w:type="spellStart"/>
            <w:r w:rsidRPr="00385A9C">
              <w:rPr>
                <w:rFonts w:ascii="Times New Roman" w:hAnsi="Times New Roman" w:cs="Times New Roman"/>
                <w:color w:val="000000"/>
              </w:rPr>
              <w:t>GbE</w:t>
            </w:r>
            <w:proofErr w:type="spellEnd"/>
            <w:r w:rsidRPr="00385A9C">
              <w:rPr>
                <w:rFonts w:ascii="Times New Roman" w:hAnsi="Times New Roman" w:cs="Times New Roman"/>
                <w:color w:val="000000"/>
              </w:rPr>
              <w:t xml:space="preserve"> SFP</w:t>
            </w:r>
            <w:r w:rsidRPr="00BB621B">
              <w:rPr>
                <w:rFonts w:ascii="Times New Roman" w:hAnsi="Times New Roman" w:cs="Times New Roman"/>
                <w:color w:val="000000"/>
              </w:rPr>
              <w:t>+ (1 шт.),</w:t>
            </w:r>
            <w:r w:rsidRPr="00385A9C">
              <w:rPr>
                <w:rFonts w:ascii="Times New Roman" w:hAnsi="Times New Roman" w:cs="Times New Roman"/>
                <w:color w:val="000000"/>
              </w:rPr>
              <w:t xml:space="preserve"> або аналог (еквівалент) з характеристиками:</w:t>
            </w:r>
          </w:p>
        </w:tc>
      </w:tr>
      <w:tr w:rsidR="00385A9C" w:rsidRPr="00385A9C" w:rsidTr="00BB621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85A9C" w:rsidRPr="00385A9C" w:rsidRDefault="00385A9C" w:rsidP="00BB62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85A9C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385A9C" w:rsidRPr="00385A9C" w:rsidRDefault="00385A9C" w:rsidP="00BB62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5A9C">
              <w:rPr>
                <w:rFonts w:ascii="Times New Roman" w:hAnsi="Times New Roman" w:cs="Times New Roman"/>
                <w:color w:val="000000"/>
              </w:rPr>
              <w:t>Порти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85A9C" w:rsidRPr="00385A9C" w:rsidRDefault="00385A9C" w:rsidP="00BB62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5A9C">
              <w:rPr>
                <w:rFonts w:ascii="Times New Roman" w:hAnsi="Times New Roman" w:cs="Times New Roman"/>
                <w:color w:val="000000"/>
              </w:rPr>
              <w:t>≥ 48 x 1GbE RJ45 + 4 x 10GbE SFP+.</w:t>
            </w:r>
          </w:p>
        </w:tc>
      </w:tr>
      <w:tr w:rsidR="00385A9C" w:rsidRPr="00385A9C" w:rsidTr="00BB621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85A9C" w:rsidRPr="00385A9C" w:rsidRDefault="00385A9C" w:rsidP="00BB62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A9C">
              <w:rPr>
                <w:rFonts w:ascii="Times New Roman" w:hAnsi="Times New Roman" w:cs="Times New Roman"/>
                <w:color w:val="000000"/>
              </w:rPr>
              <w:lastRenderedPageBreak/>
              <w:t>2.2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385A9C" w:rsidRPr="00385A9C" w:rsidRDefault="00385A9C" w:rsidP="00BB62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5A9C">
              <w:rPr>
                <w:rFonts w:ascii="Times New Roman" w:hAnsi="Times New Roman" w:cs="Times New Roman"/>
                <w:color w:val="000000"/>
              </w:rPr>
              <w:t>Пропускна здатність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85A9C" w:rsidRPr="00385A9C" w:rsidRDefault="00385A9C" w:rsidP="00BB62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5A9C">
              <w:rPr>
                <w:rFonts w:ascii="Times New Roman" w:hAnsi="Times New Roman" w:cs="Times New Roman"/>
                <w:color w:val="000000"/>
              </w:rPr>
              <w:t xml:space="preserve">≥ 88 </w:t>
            </w:r>
            <w:proofErr w:type="spellStart"/>
            <w:r w:rsidRPr="00385A9C">
              <w:rPr>
                <w:rFonts w:ascii="Times New Roman" w:hAnsi="Times New Roman" w:cs="Times New Roman"/>
                <w:color w:val="000000"/>
              </w:rPr>
              <w:t>Gbps</w:t>
            </w:r>
            <w:proofErr w:type="spellEnd"/>
            <w:r w:rsidRPr="00385A9C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385A9C" w:rsidRPr="00385A9C" w:rsidTr="00BB621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85A9C" w:rsidRPr="00385A9C" w:rsidRDefault="00385A9C" w:rsidP="00BB62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A9C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385A9C" w:rsidRPr="00385A9C" w:rsidRDefault="00385A9C" w:rsidP="00BB62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5A9C">
              <w:rPr>
                <w:rFonts w:ascii="Times New Roman" w:hAnsi="Times New Roman" w:cs="Times New Roman"/>
                <w:color w:val="000000"/>
              </w:rPr>
              <w:t>Швидкість обробки пакетів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85A9C" w:rsidRPr="00385A9C" w:rsidRDefault="00385A9C" w:rsidP="00BB62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5A9C">
              <w:rPr>
                <w:rFonts w:ascii="Times New Roman" w:hAnsi="Times New Roman" w:cs="Times New Roman"/>
                <w:color w:val="000000"/>
              </w:rPr>
              <w:t xml:space="preserve"> ≥130.94 млн пакетів/</w:t>
            </w:r>
            <w:proofErr w:type="spellStart"/>
            <w:r w:rsidRPr="00385A9C">
              <w:rPr>
                <w:rFonts w:ascii="Times New Roman" w:hAnsi="Times New Roman" w:cs="Times New Roman"/>
                <w:color w:val="000000"/>
              </w:rPr>
              <w:t>сек</w:t>
            </w:r>
            <w:proofErr w:type="spellEnd"/>
            <w:r w:rsidRPr="00385A9C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385A9C" w:rsidRPr="00385A9C" w:rsidTr="00BB621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85A9C" w:rsidRPr="00385A9C" w:rsidRDefault="00385A9C" w:rsidP="00BB62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A9C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385A9C" w:rsidRPr="00385A9C" w:rsidRDefault="00385A9C" w:rsidP="00BB62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5A9C">
              <w:rPr>
                <w:rFonts w:ascii="Times New Roman" w:hAnsi="Times New Roman" w:cs="Times New Roman"/>
                <w:color w:val="000000"/>
              </w:rPr>
              <w:t>Форм-фактор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85A9C" w:rsidRPr="00385A9C" w:rsidRDefault="00385A9C" w:rsidP="00BB62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5A9C">
              <w:rPr>
                <w:rFonts w:ascii="Times New Roman" w:hAnsi="Times New Roman" w:cs="Times New Roman"/>
                <w:color w:val="000000"/>
              </w:rPr>
              <w:t xml:space="preserve"> 1U, можливість монтажу в стійку</w:t>
            </w:r>
          </w:p>
        </w:tc>
      </w:tr>
      <w:tr w:rsidR="00385A9C" w:rsidRPr="00385A9C" w:rsidTr="00BB621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85A9C" w:rsidRPr="00385A9C" w:rsidRDefault="00385A9C" w:rsidP="00BB62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A9C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385A9C" w:rsidRPr="00385A9C" w:rsidRDefault="00385A9C" w:rsidP="00BB62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5A9C">
              <w:rPr>
                <w:rFonts w:ascii="Times New Roman" w:hAnsi="Times New Roman" w:cs="Times New Roman"/>
                <w:color w:val="000000"/>
              </w:rPr>
              <w:t>Операційні системи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85A9C" w:rsidRPr="00385A9C" w:rsidRDefault="00385A9C" w:rsidP="00BB62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5A9C">
              <w:rPr>
                <w:rFonts w:ascii="Times New Roman" w:hAnsi="Times New Roman" w:cs="Times New Roman"/>
                <w:color w:val="000000"/>
              </w:rPr>
              <w:t xml:space="preserve"> Підтримує </w:t>
            </w:r>
            <w:proofErr w:type="spellStart"/>
            <w:r w:rsidRPr="00385A9C">
              <w:rPr>
                <w:rFonts w:ascii="Times New Roman" w:hAnsi="Times New Roman" w:cs="Times New Roman"/>
                <w:color w:val="000000"/>
              </w:rPr>
              <w:t>UniFi</w:t>
            </w:r>
            <w:proofErr w:type="spellEnd"/>
            <w:r w:rsidRPr="00385A9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5A9C">
              <w:rPr>
                <w:rFonts w:ascii="Times New Roman" w:hAnsi="Times New Roman" w:cs="Times New Roman"/>
                <w:color w:val="000000"/>
              </w:rPr>
              <w:t>Network</w:t>
            </w:r>
            <w:proofErr w:type="spellEnd"/>
            <w:r w:rsidRPr="00385A9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5A9C">
              <w:rPr>
                <w:rFonts w:ascii="Times New Roman" w:hAnsi="Times New Roman" w:cs="Times New Roman"/>
                <w:color w:val="000000"/>
              </w:rPr>
              <w:t>Controller</w:t>
            </w:r>
            <w:proofErr w:type="spellEnd"/>
            <w:r w:rsidRPr="00385A9C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385A9C" w:rsidRPr="00385A9C" w:rsidTr="00BB621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85A9C" w:rsidRPr="00385A9C" w:rsidRDefault="00385A9C" w:rsidP="00BB62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A9C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385A9C" w:rsidRPr="00385A9C" w:rsidRDefault="00385A9C" w:rsidP="00BB62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5A9C">
              <w:rPr>
                <w:rFonts w:ascii="Times New Roman" w:hAnsi="Times New Roman" w:cs="Times New Roman"/>
                <w:color w:val="000000"/>
              </w:rPr>
              <w:t>Функції L3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85A9C" w:rsidRPr="00385A9C" w:rsidRDefault="00385A9C" w:rsidP="00BB62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5A9C">
              <w:rPr>
                <w:rFonts w:ascii="Times New Roman" w:hAnsi="Times New Roman" w:cs="Times New Roman"/>
                <w:color w:val="000000"/>
              </w:rPr>
              <w:t xml:space="preserve"> Маршрутизація між VLAN, статична маршрутизація, DHCP-сервер.</w:t>
            </w:r>
          </w:p>
        </w:tc>
      </w:tr>
      <w:tr w:rsidR="00385A9C" w:rsidRPr="00385A9C" w:rsidTr="00BB621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85A9C" w:rsidRPr="00385A9C" w:rsidRDefault="00385A9C" w:rsidP="00BB62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A9C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385A9C" w:rsidRPr="00385A9C" w:rsidRDefault="00385A9C" w:rsidP="00BB621B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85A9C">
              <w:rPr>
                <w:rFonts w:ascii="Times New Roman" w:eastAsia="Calibri" w:hAnsi="Times New Roman" w:cs="Times New Roman"/>
                <w:bCs/>
              </w:rPr>
              <w:t>Термін гарантії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85A9C" w:rsidRPr="00385A9C" w:rsidRDefault="00385A9C" w:rsidP="00BB62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85A9C">
              <w:rPr>
                <w:rFonts w:ascii="Times New Roman" w:hAnsi="Times New Roman" w:cs="Times New Roman"/>
                <w:lang w:eastAsia="uk-UA"/>
              </w:rPr>
              <w:t>не менше 12 місяців від виробника.</w:t>
            </w:r>
          </w:p>
        </w:tc>
      </w:tr>
    </w:tbl>
    <w:p w:rsidR="00A1712C" w:rsidRPr="00385A9C" w:rsidRDefault="00385A9C" w:rsidP="00CF75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  <w:r w:rsidRPr="00385A9C">
        <w:rPr>
          <w:rFonts w:ascii="Times New Roman" w:eastAsia="Times New Roman" w:hAnsi="Times New Roman" w:cs="Times New Roman"/>
          <w:lang w:eastAsia="uk-UA"/>
        </w:rPr>
        <w:t xml:space="preserve"> </w:t>
      </w:r>
    </w:p>
    <w:p w:rsidR="009F4A40" w:rsidRDefault="009F4A40" w:rsidP="009F4A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BA8" w:rsidRPr="00C56BA8" w:rsidRDefault="00C56BA8" w:rsidP="009F4A40">
      <w:pPr>
        <w:jc w:val="both"/>
        <w:rPr>
          <w:rFonts w:ascii="Times New Roman" w:hAnsi="Times New Roman" w:cs="Times New Roman"/>
          <w:sz w:val="24"/>
          <w:szCs w:val="24"/>
        </w:rPr>
      </w:pPr>
      <w:r w:rsidRPr="00C56BA8">
        <w:rPr>
          <w:rFonts w:ascii="Times New Roman" w:hAnsi="Times New Roman" w:cs="Times New Roman"/>
          <w:sz w:val="24"/>
          <w:szCs w:val="24"/>
        </w:rPr>
        <w:t xml:space="preserve">Заст. директора з </w:t>
      </w:r>
      <w:proofErr w:type="spellStart"/>
      <w:r w:rsidRPr="00C56BA8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C56BA8">
        <w:rPr>
          <w:rFonts w:ascii="Times New Roman" w:hAnsi="Times New Roman" w:cs="Times New Roman"/>
          <w:sz w:val="24"/>
          <w:szCs w:val="24"/>
        </w:rPr>
        <w:t xml:space="preserve">.  питань </w:t>
      </w:r>
      <w:r>
        <w:rPr>
          <w:rFonts w:ascii="Times New Roman" w:hAnsi="Times New Roman" w:cs="Times New Roman"/>
          <w:sz w:val="24"/>
          <w:szCs w:val="24"/>
        </w:rPr>
        <w:t xml:space="preserve">  Пацаган М.І.</w:t>
      </w:r>
    </w:p>
    <w:sectPr w:rsidR="00C56BA8" w:rsidRPr="00C56B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91C08"/>
    <w:multiLevelType w:val="hybridMultilevel"/>
    <w:tmpl w:val="4ABEC156"/>
    <w:lvl w:ilvl="0" w:tplc="B816D3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54754A">
      <w:start w:val="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54A6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002A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BA228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B076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A038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0A417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6A4A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E40E4C"/>
    <w:multiLevelType w:val="multilevel"/>
    <w:tmpl w:val="7B94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D20EA1"/>
    <w:multiLevelType w:val="hybridMultilevel"/>
    <w:tmpl w:val="B840F83E"/>
    <w:lvl w:ilvl="0" w:tplc="22C67A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97ADB7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D670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35A7A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0C2F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2E5F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9C5C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A689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6AC13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2"/>
    <w:lvlOverride w:ilvl="1">
      <w:startOverride w:val="3"/>
    </w:lvlOverride>
  </w:num>
  <w:num w:numId="4">
    <w:abstractNumId w:val="2"/>
    <w:lvlOverride w:ilvl="1">
      <w:lvl w:ilvl="1" w:tplc="197ADB70">
        <w:numFmt w:val="decimal"/>
        <w:lvlText w:val="%2."/>
        <w:lvlJc w:val="left"/>
      </w:lvl>
    </w:lvlOverride>
  </w:num>
  <w:num w:numId="5">
    <w:abstractNumId w:val="2"/>
    <w:lvlOverride w:ilvl="1">
      <w:startOverride w:val="2"/>
    </w:lvlOverride>
  </w:num>
  <w:num w:numId="6">
    <w:abstractNumId w:val="2"/>
    <w:lvlOverride w:ilvl="1">
      <w:startOverride w:val="3"/>
    </w:lvlOverride>
  </w:num>
  <w:num w:numId="7">
    <w:abstractNumId w:val="2"/>
    <w:lvlOverride w:ilvl="1">
      <w:lvl w:ilvl="1" w:tplc="197ADB70">
        <w:numFmt w:val="decimal"/>
        <w:lvlText w:val="%2."/>
        <w:lvlJc w:val="left"/>
      </w:lvl>
    </w:lvlOverride>
  </w:num>
  <w:num w:numId="8">
    <w:abstractNumId w:val="2"/>
    <w:lvlOverride w:ilvl="1">
      <w:startOverride w:val="2"/>
    </w:lvlOverride>
  </w:num>
  <w:num w:numId="9">
    <w:abstractNumId w:val="2"/>
    <w:lvlOverride w:ilvl="1">
      <w:startOverride w:val="3"/>
    </w:lvlOverride>
  </w:num>
  <w:num w:numId="10">
    <w:abstractNumId w:val="2"/>
    <w:lvlOverride w:ilvl="1">
      <w:lvl w:ilvl="1" w:tplc="197ADB70">
        <w:numFmt w:val="decimal"/>
        <w:lvlText w:val="%2."/>
        <w:lvlJc w:val="left"/>
      </w:lvl>
    </w:lvlOverride>
  </w:num>
  <w:num w:numId="11">
    <w:abstractNumId w:val="2"/>
    <w:lvlOverride w:ilvl="1">
      <w:startOverride w:val="2"/>
    </w:lvlOverride>
  </w:num>
  <w:num w:numId="12">
    <w:abstractNumId w:val="2"/>
    <w:lvlOverride w:ilvl="1">
      <w:startOverride w:val="3"/>
    </w:lvlOverride>
  </w:num>
  <w:num w:numId="13">
    <w:abstractNumId w:val="2"/>
    <w:lvlOverride w:ilvl="1">
      <w:lvl w:ilvl="1" w:tplc="197ADB70">
        <w:numFmt w:val="decimal"/>
        <w:lvlText w:val="%2."/>
        <w:lvlJc w:val="left"/>
      </w:lvl>
    </w:lvlOverride>
  </w:num>
  <w:num w:numId="14">
    <w:abstractNumId w:val="2"/>
    <w:lvlOverride w:ilvl="1">
      <w:startOverride w:val="2"/>
    </w:lvlOverride>
  </w:num>
  <w:num w:numId="15">
    <w:abstractNumId w:val="2"/>
    <w:lvlOverride w:ilvl="1">
      <w:startOverride w:val="3"/>
    </w:lvlOverride>
  </w:num>
  <w:num w:numId="16">
    <w:abstractNumId w:val="2"/>
    <w:lvlOverride w:ilvl="1">
      <w:lvl w:ilvl="1" w:tplc="197ADB70">
        <w:numFmt w:val="decimal"/>
        <w:lvlText w:val="%2."/>
        <w:lvlJc w:val="left"/>
      </w:lvl>
    </w:lvlOverride>
  </w:num>
  <w:num w:numId="17">
    <w:abstractNumId w:val="2"/>
    <w:lvlOverride w:ilvl="1">
      <w:startOverride w:val="2"/>
    </w:lvlOverride>
  </w:num>
  <w:num w:numId="18">
    <w:abstractNumId w:val="2"/>
    <w:lvlOverride w:ilvl="1">
      <w:startOverride w:val="3"/>
    </w:lvlOverride>
  </w:num>
  <w:num w:numId="19">
    <w:abstractNumId w:val="0"/>
  </w:num>
  <w:num w:numId="20">
    <w:abstractNumId w:val="0"/>
    <w:lvlOverride w:ilvl="1">
      <w:lvl w:ilvl="1" w:tplc="2254754A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59"/>
    <w:rsid w:val="00005631"/>
    <w:rsid w:val="001F5C9C"/>
    <w:rsid w:val="00204EEE"/>
    <w:rsid w:val="0030478E"/>
    <w:rsid w:val="00385A9C"/>
    <w:rsid w:val="00537E3E"/>
    <w:rsid w:val="00566359"/>
    <w:rsid w:val="007507D5"/>
    <w:rsid w:val="007D5E37"/>
    <w:rsid w:val="009F4A40"/>
    <w:rsid w:val="00A1712C"/>
    <w:rsid w:val="00A76E2F"/>
    <w:rsid w:val="00BB621B"/>
    <w:rsid w:val="00BD4D73"/>
    <w:rsid w:val="00C56BA8"/>
    <w:rsid w:val="00CF326A"/>
    <w:rsid w:val="00CF7515"/>
    <w:rsid w:val="00D8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2ECC"/>
  <w15:chartTrackingRefBased/>
  <w15:docId w15:val="{E78EB475-B0D8-4748-8A03-FA8E95E8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63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5663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6">
    <w:name w:val="heading 6"/>
    <w:basedOn w:val="a"/>
    <w:link w:val="60"/>
    <w:uiPriority w:val="9"/>
    <w:qFormat/>
    <w:rsid w:val="0056635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35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56635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566359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paragraph" w:customStyle="1" w:styleId="msonormal0">
    <w:name w:val="msonormal"/>
    <w:basedOn w:val="a"/>
    <w:rsid w:val="0056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56635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6359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663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Початок форми Знак"/>
    <w:basedOn w:val="a0"/>
    <w:link w:val="z-"/>
    <w:uiPriority w:val="99"/>
    <w:semiHidden/>
    <w:rsid w:val="00566359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663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інець форми Знак"/>
    <w:basedOn w:val="a0"/>
    <w:link w:val="z-1"/>
    <w:uiPriority w:val="99"/>
    <w:semiHidden/>
    <w:rsid w:val="00566359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a5">
    <w:name w:val="Normal (Web)"/>
    <w:basedOn w:val="a"/>
    <w:uiPriority w:val="99"/>
    <w:unhideWhenUsed/>
    <w:rsid w:val="0056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566359"/>
    <w:rPr>
      <w:b/>
      <w:bCs/>
    </w:rPr>
  </w:style>
  <w:style w:type="character" w:customStyle="1" w:styleId="ng-binding">
    <w:name w:val="ng-binding"/>
    <w:basedOn w:val="a0"/>
    <w:rsid w:val="00A1712C"/>
  </w:style>
  <w:style w:type="character" w:customStyle="1" w:styleId="green">
    <w:name w:val="green"/>
    <w:basedOn w:val="a0"/>
    <w:rsid w:val="00385A9C"/>
  </w:style>
  <w:style w:type="paragraph" w:styleId="a7">
    <w:name w:val="List Paragraph"/>
    <w:aliases w:val="название табл/рис,Список уровня 2,Bullet Number,Bullet 1,Use Case List Paragraph,lp1,List Paragraph1,lp11,List Paragraph11,EBRD List,заголовок 1.1,Chapter10,AC List 01,Bullet List,FooterText,numbered,Paragraphe de liste1,1 Буллет,----,Bullets"/>
    <w:basedOn w:val="a"/>
    <w:link w:val="a8"/>
    <w:uiPriority w:val="34"/>
    <w:qFormat/>
    <w:rsid w:val="00385A9C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  <w:lang w:val="ru-RU"/>
    </w:rPr>
  </w:style>
  <w:style w:type="character" w:customStyle="1" w:styleId="a8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Chapter10 Знак,AC List 01 Знак"/>
    <w:link w:val="a7"/>
    <w:uiPriority w:val="34"/>
    <w:qFormat/>
    <w:rsid w:val="00385A9C"/>
    <w:rPr>
      <w:rFonts w:ascii="Times New Roman" w:eastAsia="SimSu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2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4466">
                  <w:marLeft w:val="0"/>
                  <w:marRight w:val="0"/>
                  <w:marTop w:val="0"/>
                  <w:marBottom w:val="0"/>
                  <w:divBdr>
                    <w:top w:val="single" w:sz="6" w:space="31" w:color="D3DEED"/>
                    <w:left w:val="single" w:sz="6" w:space="31" w:color="D3DEED"/>
                    <w:bottom w:val="single" w:sz="6" w:space="31" w:color="D3DEED"/>
                    <w:right w:val="single" w:sz="6" w:space="31" w:color="D3DEED"/>
                  </w:divBdr>
                  <w:divsChild>
                    <w:div w:id="61880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90363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3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26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05685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2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22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1075">
              <w:marLeft w:val="0"/>
              <w:marRight w:val="0"/>
              <w:marTop w:val="0"/>
              <w:marBottom w:val="0"/>
              <w:divBdr>
                <w:top w:val="single" w:sz="2" w:space="0" w:color="647181"/>
                <w:left w:val="single" w:sz="2" w:space="0" w:color="647181"/>
                <w:bottom w:val="single" w:sz="2" w:space="0" w:color="647181"/>
                <w:right w:val="single" w:sz="6" w:space="31" w:color="647181"/>
              </w:divBdr>
              <w:divsChild>
                <w:div w:id="960037936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6106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2051">
                  <w:marLeft w:val="0"/>
                  <w:marRight w:val="-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0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07918">
                      <w:marLeft w:val="0"/>
                      <w:marRight w:val="1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8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rfu.org.ua/wp-content/uploads/2024/06/perelik-proyektiv-shho-rekomenduyutsya-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2750</Words>
  <Characters>1568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2025-07-08T15:14:00Z</dcterms:created>
  <dcterms:modified xsi:type="dcterms:W3CDTF">2025-07-08T15:14:00Z</dcterms:modified>
</cp:coreProperties>
</file>